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A937" w14:textId="77777777" w:rsidR="003F1209" w:rsidRDefault="00390500" w:rsidP="000B22CE">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noProof/>
          <w:sz w:val="20"/>
        </w:rPr>
      </w:pPr>
      <w:r w:rsidRPr="000E5BD2">
        <w:rPr>
          <w:rFonts w:ascii="Verdana" w:hAnsi="Verdana" w:cs="Arial"/>
          <w:noProof/>
          <w:sz w:val="20"/>
        </w:rPr>
        <w:t xml:space="preserve">Mr. Vincent Traynor, </w:t>
      </w:r>
    </w:p>
    <w:p w14:paraId="72E08CC0" w14:textId="2599B252" w:rsidR="00390500" w:rsidRPr="000E5BD2" w:rsidRDefault="00390500" w:rsidP="000B22CE">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noProof/>
          <w:sz w:val="20"/>
        </w:rPr>
      </w:pPr>
      <w:r w:rsidRPr="000E5BD2">
        <w:rPr>
          <w:rFonts w:ascii="Verdana" w:hAnsi="Verdana" w:cs="Arial"/>
          <w:noProof/>
          <w:sz w:val="20"/>
        </w:rPr>
        <w:t>JSA Architects on behalf of Karen Hehir</w:t>
      </w:r>
    </w:p>
    <w:p w14:paraId="2B848B07" w14:textId="77777777" w:rsidR="00390500" w:rsidRPr="000E5BD2" w:rsidRDefault="00390500" w:rsidP="000B22CE">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noProof/>
          <w:sz w:val="20"/>
        </w:rPr>
      </w:pPr>
      <w:r w:rsidRPr="000E5BD2">
        <w:rPr>
          <w:rFonts w:ascii="Verdana" w:hAnsi="Verdana" w:cs="Arial"/>
          <w:noProof/>
          <w:sz w:val="20"/>
        </w:rPr>
        <w:t>10, Booterstown Avenue</w:t>
      </w:r>
    </w:p>
    <w:p w14:paraId="16D646F7" w14:textId="77777777" w:rsidR="00390500" w:rsidRPr="000E5BD2" w:rsidRDefault="00390500" w:rsidP="000B22CE">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noProof/>
          <w:sz w:val="20"/>
        </w:rPr>
      </w:pPr>
      <w:r w:rsidRPr="000E5BD2">
        <w:rPr>
          <w:rFonts w:ascii="Verdana" w:hAnsi="Verdana" w:cs="Arial"/>
          <w:noProof/>
          <w:sz w:val="20"/>
        </w:rPr>
        <w:t>Blackrock, Co. Dublin</w:t>
      </w:r>
    </w:p>
    <w:p w14:paraId="356D26C8"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sz w:val="20"/>
        </w:rPr>
      </w:pPr>
      <w:r w:rsidRPr="000E5BD2">
        <w:rPr>
          <w:rFonts w:ascii="Verdana" w:hAnsi="Verdana" w:cs="Arial"/>
          <w:noProof/>
          <w:sz w:val="20"/>
        </w:rPr>
        <w:t>A94 V8W2</w:t>
      </w:r>
    </w:p>
    <w:p w14:paraId="37759136" w14:textId="77777777" w:rsidR="00390500" w:rsidRDefault="00390500">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4509431"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sz w:val="20"/>
        </w:rPr>
      </w:pPr>
    </w:p>
    <w:p w14:paraId="1251F1E6" w14:textId="77777777" w:rsidR="00390500" w:rsidRDefault="00390500" w:rsidP="00143266">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right"/>
        <w:rPr>
          <w:rFonts w:ascii="Verdana" w:hAnsi="Verdana" w:cs="Arial"/>
          <w:sz w:val="20"/>
        </w:rPr>
      </w:pPr>
      <w:r w:rsidRPr="000E5BD2">
        <w:rPr>
          <w:rFonts w:ascii="Verdana" w:hAnsi="Verdana" w:cs="Arial"/>
          <w:noProof/>
          <w:sz w:val="20"/>
        </w:rPr>
        <w:t>12-Aug-2026</w:t>
      </w:r>
    </w:p>
    <w:p w14:paraId="6CB9ACB7"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sz w:val="20"/>
        </w:rPr>
      </w:pPr>
    </w:p>
    <w:p w14:paraId="2A23D01C" w14:textId="77777777" w:rsidR="00390500" w:rsidRDefault="00390500">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szCs w:val="24"/>
          <w:lang w:val="en-GB"/>
        </w:rPr>
      </w:pPr>
    </w:p>
    <w:p w14:paraId="3AF37DBE"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center"/>
        <w:rPr>
          <w:rFonts w:ascii="Verdana" w:hAnsi="Verdana" w:cs="Arial"/>
          <w:b/>
          <w:sz w:val="20"/>
        </w:rPr>
      </w:pPr>
      <w:r>
        <w:rPr>
          <w:rFonts w:ascii="Verdana" w:hAnsi="Verdana" w:cs="Arial"/>
          <w:b/>
          <w:sz w:val="20"/>
        </w:rPr>
        <w:t xml:space="preserve">NOTIFICATION OF DECISION TO </w:t>
      </w:r>
      <w:r w:rsidRPr="000E5BD2">
        <w:rPr>
          <w:rFonts w:ascii="Verdana" w:hAnsi="Verdana" w:cs="Arial"/>
          <w:b/>
          <w:noProof/>
          <w:sz w:val="20"/>
        </w:rPr>
        <w:t>GRANT PERMISSION &amp; REFUSE PERMISSION</w:t>
      </w:r>
    </w:p>
    <w:p w14:paraId="2A2BA503"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center"/>
        <w:rPr>
          <w:rFonts w:ascii="Verdana" w:hAnsi="Verdana" w:cs="Arial"/>
          <w:b/>
          <w:sz w:val="20"/>
        </w:rPr>
      </w:pPr>
      <w:r>
        <w:rPr>
          <w:rFonts w:ascii="Verdana" w:hAnsi="Verdana" w:cs="Arial"/>
          <w:b/>
          <w:sz w:val="20"/>
        </w:rPr>
        <w:t>PLANNING &amp; DEVELOPMENT ACT 2000, AS AMENDED</w:t>
      </w:r>
    </w:p>
    <w:p w14:paraId="67662666"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sz w:val="20"/>
        </w:rPr>
      </w:pPr>
    </w:p>
    <w:tbl>
      <w:tblPr>
        <w:tblW w:w="0" w:type="auto"/>
        <w:tblInd w:w="324" w:type="dxa"/>
        <w:tblLayout w:type="fixed"/>
        <w:tblCellMar>
          <w:left w:w="432" w:type="dxa"/>
          <w:right w:w="432" w:type="dxa"/>
        </w:tblCellMar>
        <w:tblLook w:val="0000" w:firstRow="0" w:lastRow="0" w:firstColumn="0" w:lastColumn="0" w:noHBand="0" w:noVBand="0"/>
      </w:tblPr>
      <w:tblGrid>
        <w:gridCol w:w="18"/>
        <w:gridCol w:w="4770"/>
        <w:gridCol w:w="4860"/>
      </w:tblGrid>
      <w:tr w:rsidR="00390500" w14:paraId="3164AA96" w14:textId="77777777" w:rsidTr="006E4F13">
        <w:trPr>
          <w:gridBefore w:val="1"/>
          <w:wBefore w:w="18" w:type="dxa"/>
          <w:cantSplit/>
        </w:trPr>
        <w:tc>
          <w:tcPr>
            <w:tcW w:w="4770" w:type="dxa"/>
          </w:tcPr>
          <w:p w14:paraId="54DC0DBD" w14:textId="77777777" w:rsidR="00390500" w:rsidRDefault="00390500">
            <w:pPr>
              <w:tabs>
                <w:tab w:val="left" w:pos="288"/>
                <w:tab w:val="right" w:pos="5328"/>
                <w:tab w:val="left" w:pos="6192"/>
              </w:tabs>
              <w:ind w:left="-432"/>
              <w:rPr>
                <w:rFonts w:ascii="Verdana" w:hAnsi="Verdana" w:cs="Arial"/>
                <w:sz w:val="20"/>
              </w:rPr>
            </w:pPr>
            <w:r>
              <w:rPr>
                <w:rFonts w:ascii="Verdana" w:hAnsi="Verdana" w:cs="Arial"/>
                <w:b/>
                <w:sz w:val="20"/>
              </w:rPr>
              <w:t xml:space="preserve">Decision Order No.:  </w:t>
            </w:r>
            <w:r w:rsidRPr="000E5BD2">
              <w:rPr>
                <w:rFonts w:ascii="Verdana" w:hAnsi="Verdana" w:cs="Arial"/>
                <w:bCs/>
                <w:noProof/>
                <w:sz w:val="20"/>
              </w:rPr>
              <w:t>P/1625/26</w:t>
            </w:r>
          </w:p>
          <w:p w14:paraId="19080113" w14:textId="77777777" w:rsidR="00390500" w:rsidRDefault="00390500">
            <w:pPr>
              <w:tabs>
                <w:tab w:val="left" w:pos="288"/>
                <w:tab w:val="right" w:pos="5328"/>
                <w:tab w:val="left" w:pos="6192"/>
              </w:tabs>
              <w:ind w:left="-432"/>
              <w:rPr>
                <w:rFonts w:ascii="Verdana" w:hAnsi="Verdana" w:cs="Arial"/>
                <w:b/>
                <w:bCs/>
                <w:sz w:val="20"/>
              </w:rPr>
            </w:pPr>
          </w:p>
          <w:p w14:paraId="631E0194" w14:textId="77777777" w:rsidR="00390500" w:rsidRDefault="00390500">
            <w:pPr>
              <w:tabs>
                <w:tab w:val="left" w:pos="288"/>
                <w:tab w:val="right" w:pos="5328"/>
                <w:tab w:val="left" w:pos="6192"/>
              </w:tabs>
              <w:ind w:left="-432"/>
              <w:rPr>
                <w:rFonts w:ascii="Verdana" w:hAnsi="Verdana" w:cs="Arial"/>
                <w:sz w:val="20"/>
              </w:rPr>
            </w:pPr>
            <w:r>
              <w:rPr>
                <w:rFonts w:ascii="Verdana" w:hAnsi="Verdana" w:cs="Arial"/>
                <w:b/>
                <w:bCs/>
                <w:sz w:val="20"/>
              </w:rPr>
              <w:t xml:space="preserve">Register Reference:  </w:t>
            </w:r>
            <w:r w:rsidRPr="000E5BD2">
              <w:rPr>
                <w:rFonts w:ascii="Verdana" w:hAnsi="Verdana" w:cs="Arial"/>
                <w:noProof/>
                <w:sz w:val="20"/>
              </w:rPr>
              <w:t>D26A/0068/WEB</w:t>
            </w:r>
          </w:p>
        </w:tc>
        <w:tc>
          <w:tcPr>
            <w:tcW w:w="4860" w:type="dxa"/>
          </w:tcPr>
          <w:p w14:paraId="112F7624" w14:textId="77777777" w:rsidR="00390500" w:rsidRDefault="00390500">
            <w:pPr>
              <w:tabs>
                <w:tab w:val="left" w:pos="288"/>
                <w:tab w:val="right" w:pos="5328"/>
                <w:tab w:val="left" w:pos="6192"/>
              </w:tabs>
              <w:ind w:left="-432"/>
              <w:rPr>
                <w:rFonts w:ascii="Verdana" w:hAnsi="Verdana" w:cs="Arial"/>
                <w:sz w:val="20"/>
              </w:rPr>
            </w:pPr>
            <w:r>
              <w:rPr>
                <w:rFonts w:ascii="Verdana" w:hAnsi="Verdana" w:cs="Arial"/>
                <w:b/>
                <w:sz w:val="20"/>
              </w:rPr>
              <w:t>Date of Decision:</w:t>
            </w:r>
            <w:r>
              <w:rPr>
                <w:rFonts w:ascii="Verdana" w:hAnsi="Verdana" w:cs="Arial"/>
                <w:sz w:val="20"/>
              </w:rPr>
              <w:t xml:space="preserve">   </w:t>
            </w:r>
            <w:r w:rsidRPr="000E5BD2">
              <w:rPr>
                <w:rFonts w:ascii="Verdana" w:hAnsi="Verdana" w:cs="Arial"/>
                <w:noProof/>
                <w:sz w:val="20"/>
              </w:rPr>
              <w:t>12-Aug-2026</w:t>
            </w:r>
          </w:p>
          <w:p w14:paraId="64D401B7" w14:textId="77777777" w:rsidR="00390500" w:rsidRDefault="00390500">
            <w:pPr>
              <w:tabs>
                <w:tab w:val="left" w:pos="288"/>
                <w:tab w:val="right" w:pos="5328"/>
                <w:tab w:val="left" w:pos="6192"/>
              </w:tabs>
              <w:ind w:left="-432"/>
              <w:rPr>
                <w:rFonts w:ascii="Verdana" w:hAnsi="Verdana" w:cs="Arial"/>
                <w:b/>
                <w:bCs/>
                <w:sz w:val="20"/>
              </w:rPr>
            </w:pPr>
            <w:r>
              <w:rPr>
                <w:rFonts w:ascii="Verdana" w:hAnsi="Verdana" w:cs="Arial"/>
                <w:b/>
                <w:bCs/>
                <w:sz w:val="20"/>
              </w:rPr>
              <w:t xml:space="preserve">  </w:t>
            </w:r>
          </w:p>
          <w:p w14:paraId="3452C3FD" w14:textId="77777777" w:rsidR="00390500" w:rsidRDefault="00390500">
            <w:pPr>
              <w:tabs>
                <w:tab w:val="left" w:pos="288"/>
                <w:tab w:val="right" w:pos="5328"/>
                <w:tab w:val="left" w:pos="6192"/>
              </w:tabs>
              <w:ind w:left="-432"/>
              <w:rPr>
                <w:rFonts w:ascii="Verdana" w:hAnsi="Verdana" w:cs="Arial"/>
                <w:sz w:val="20"/>
              </w:rPr>
            </w:pPr>
            <w:r>
              <w:rPr>
                <w:rFonts w:ascii="Verdana" w:hAnsi="Verdana" w:cs="Arial"/>
                <w:b/>
                <w:bCs/>
                <w:sz w:val="20"/>
              </w:rPr>
              <w:t>Date Received:</w:t>
            </w:r>
            <w:r>
              <w:rPr>
                <w:rFonts w:ascii="Verdana" w:hAnsi="Verdana" w:cs="Arial"/>
                <w:sz w:val="20"/>
              </w:rPr>
              <w:t xml:space="preserve">  </w:t>
            </w:r>
            <w:r w:rsidRPr="000E5BD2">
              <w:rPr>
                <w:rFonts w:ascii="Verdana" w:hAnsi="Verdana" w:cs="Arial"/>
                <w:noProof/>
                <w:sz w:val="20"/>
              </w:rPr>
              <w:t>06-Feb-2026</w:t>
            </w:r>
          </w:p>
          <w:p w14:paraId="66359A13" w14:textId="77777777" w:rsidR="00390500" w:rsidRDefault="00390500">
            <w:pPr>
              <w:tabs>
                <w:tab w:val="left" w:pos="288"/>
                <w:tab w:val="right" w:pos="5328"/>
                <w:tab w:val="left" w:pos="6192"/>
              </w:tabs>
              <w:rPr>
                <w:rFonts w:ascii="Verdana" w:hAnsi="Verdana" w:cs="Arial"/>
                <w:sz w:val="20"/>
              </w:rPr>
            </w:pPr>
          </w:p>
        </w:tc>
      </w:tr>
      <w:tr w:rsidR="00390500" w14:paraId="1FB35334" w14:textId="77777777" w:rsidTr="006E4F13">
        <w:tblPrEx>
          <w:tblCellMar>
            <w:left w:w="108" w:type="dxa"/>
            <w:right w:w="108" w:type="dxa"/>
          </w:tblCellMar>
        </w:tblPrEx>
        <w:tc>
          <w:tcPr>
            <w:tcW w:w="4788" w:type="dxa"/>
            <w:gridSpan w:val="2"/>
          </w:tcPr>
          <w:p w14:paraId="7DF1149B"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Applicant:</w:t>
            </w:r>
          </w:p>
        </w:tc>
        <w:tc>
          <w:tcPr>
            <w:tcW w:w="4860" w:type="dxa"/>
          </w:tcPr>
          <w:p w14:paraId="24B06F87"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Cs/>
                <w:sz w:val="20"/>
              </w:rPr>
            </w:pPr>
            <w:r w:rsidRPr="000E5BD2">
              <w:rPr>
                <w:rFonts w:ascii="Verdana" w:hAnsi="Verdana" w:cs="Arial"/>
                <w:bCs/>
                <w:noProof/>
                <w:sz w:val="20"/>
              </w:rPr>
              <w:t>Ross &amp; Emma Morrow</w:t>
            </w:r>
          </w:p>
        </w:tc>
      </w:tr>
      <w:tr w:rsidR="00390500" w14:paraId="46D65B0D" w14:textId="77777777" w:rsidTr="006E4F13">
        <w:tblPrEx>
          <w:tblCellMar>
            <w:left w:w="108" w:type="dxa"/>
            <w:right w:w="108" w:type="dxa"/>
          </w:tblCellMar>
        </w:tblPrEx>
        <w:tc>
          <w:tcPr>
            <w:tcW w:w="4788" w:type="dxa"/>
            <w:gridSpan w:val="2"/>
          </w:tcPr>
          <w:p w14:paraId="3D8BBE78"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Development:</w:t>
            </w:r>
          </w:p>
        </w:tc>
        <w:tc>
          <w:tcPr>
            <w:tcW w:w="4860" w:type="dxa"/>
          </w:tcPr>
          <w:p w14:paraId="3516CD7F" w14:textId="77777777" w:rsidR="00390500" w:rsidRDefault="00390500" w:rsidP="006E4F13">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both"/>
              <w:rPr>
                <w:rFonts w:ascii="Verdana" w:hAnsi="Verdana" w:cs="Arial"/>
                <w:bCs/>
                <w:sz w:val="20"/>
              </w:rPr>
            </w:pPr>
            <w:r w:rsidRPr="000E5BD2">
              <w:rPr>
                <w:rFonts w:ascii="Verdana" w:hAnsi="Verdana" w:cs="Arial"/>
                <w:bCs/>
                <w:noProof/>
                <w:sz w:val="20"/>
              </w:rPr>
              <w:t xml:space="preserve">The development will consist of conservation-based repair works, internal alterations and the construction of a new single storey extension at ground floor level to the rear of the existing house and side of existing return comprising of: 1) Repair and restoration of existing granite front steps; 2) Construction of a new storage area under front driveway accessed from front lower ground floor lightwell; 3) Installation of a new glazed entrance door into lower ground floor vestibule under front steps; 4) Internal alterations to lower ground floor layout including new opening in central spine wall between proposed cinema room and gym areas, lowering of floor level to proposed gym area, removal of non-original partitions and construction of new partition between proposed cinema room and proposed utility / boot room, removal of existing non-original partitions around existing stairwell and making good existing staircase; 5) Removal of existing non original door and window between proposed gym and rear lightwell and blocking up opening; 6) Construction of new single storey extensions at ground floor level extending over existing lightwell, terrace and plant room; 7) Alterations to existing non-original return including removal of existing first floor slab to create double height space, </w:t>
            </w:r>
            <w:r w:rsidRPr="000E5BD2">
              <w:rPr>
                <w:rFonts w:ascii="Verdana" w:hAnsi="Verdana" w:cs="Arial"/>
                <w:bCs/>
                <w:noProof/>
                <w:sz w:val="20"/>
              </w:rPr>
              <w:lastRenderedPageBreak/>
              <w:t>substantial removal of existing eastern elevation external wall and replacement and raising of roof to encompass the existing original arched window feature; 8) Construction of a covered terrace, privacy screening and external steps extending into rear garden; 9) Removal of existing sash window, granite sill, apron and base panels to create new access from existing kitchen into new extension with conservation and restoration of existing joinery; 10) Removal of existing partitions around stairwell and modifications to existing return to reinstate original openings between hall and proposed extension; 11) Reinstatement of existing opening (previously blocked) between existing kitchen and lounge including installation of sliding doors; 12) Opening up new doorway from first floor landing into master bedroom and blocking up existing arched opening; 13) Modification and repair of existing rooftop access hatch to create new rooflight and roof access above landing; 14) All associated site, ancillary, decoration and conservation works.</w:t>
            </w:r>
          </w:p>
        </w:tc>
      </w:tr>
      <w:tr w:rsidR="00390500" w14:paraId="66CAA2AF" w14:textId="77777777" w:rsidTr="006E4F13">
        <w:tblPrEx>
          <w:tblCellMar>
            <w:left w:w="108" w:type="dxa"/>
            <w:right w:w="108" w:type="dxa"/>
          </w:tblCellMar>
        </w:tblPrEx>
        <w:tc>
          <w:tcPr>
            <w:tcW w:w="4788" w:type="dxa"/>
            <w:gridSpan w:val="2"/>
          </w:tcPr>
          <w:p w14:paraId="286FDA5D"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lastRenderedPageBreak/>
              <w:t>Location:</w:t>
            </w:r>
          </w:p>
        </w:tc>
        <w:tc>
          <w:tcPr>
            <w:tcW w:w="4860" w:type="dxa"/>
          </w:tcPr>
          <w:p w14:paraId="6618F70D" w14:textId="77777777" w:rsidR="00390500" w:rsidRDefault="00390500" w:rsidP="006E4F13">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both"/>
              <w:rPr>
                <w:rFonts w:ascii="Verdana" w:hAnsi="Verdana" w:cs="Arial"/>
                <w:bCs/>
                <w:sz w:val="20"/>
              </w:rPr>
            </w:pPr>
            <w:r w:rsidRPr="000E5BD2">
              <w:rPr>
                <w:rFonts w:ascii="Verdana" w:hAnsi="Verdana" w:cs="Arial"/>
                <w:bCs/>
                <w:noProof/>
                <w:sz w:val="20"/>
              </w:rPr>
              <w:t>10, Longford Terrace, Monkstown, Dublin, A94XY98 (A Protected Structure)</w:t>
            </w:r>
          </w:p>
        </w:tc>
      </w:tr>
      <w:tr w:rsidR="00390500" w14:paraId="37A3CAD1" w14:textId="77777777" w:rsidTr="006E4F13">
        <w:tblPrEx>
          <w:tblCellMar>
            <w:left w:w="108" w:type="dxa"/>
            <w:right w:w="108" w:type="dxa"/>
          </w:tblCellMar>
        </w:tblPrEx>
        <w:tc>
          <w:tcPr>
            <w:tcW w:w="4788" w:type="dxa"/>
            <w:gridSpan w:val="2"/>
          </w:tcPr>
          <w:p w14:paraId="06D0022C"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Floor Area:</w:t>
            </w:r>
          </w:p>
        </w:tc>
        <w:tc>
          <w:tcPr>
            <w:tcW w:w="4860" w:type="dxa"/>
          </w:tcPr>
          <w:p w14:paraId="74F0095A"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Cs/>
                <w:sz w:val="20"/>
              </w:rPr>
            </w:pPr>
            <w:r w:rsidRPr="000E5BD2">
              <w:rPr>
                <w:rFonts w:ascii="Verdana" w:hAnsi="Verdana" w:cs="Arial"/>
                <w:bCs/>
                <w:noProof/>
                <w:sz w:val="20"/>
              </w:rPr>
              <w:t>41</w:t>
            </w:r>
            <w:r>
              <w:rPr>
                <w:rFonts w:ascii="Verdana" w:hAnsi="Verdana" w:cs="Arial"/>
                <w:bCs/>
                <w:sz w:val="20"/>
              </w:rPr>
              <w:t xml:space="preserve"> </w:t>
            </w:r>
            <w:proofErr w:type="spellStart"/>
            <w:r>
              <w:rPr>
                <w:rFonts w:ascii="Verdana" w:hAnsi="Verdana" w:cs="Arial"/>
                <w:bCs/>
                <w:sz w:val="20"/>
              </w:rPr>
              <w:t>sq.metres</w:t>
            </w:r>
            <w:proofErr w:type="spellEnd"/>
          </w:p>
        </w:tc>
      </w:tr>
      <w:tr w:rsidR="00390500" w14:paraId="5973D100" w14:textId="77777777" w:rsidTr="006E4F13">
        <w:tblPrEx>
          <w:tblCellMar>
            <w:left w:w="108" w:type="dxa"/>
            <w:right w:w="108" w:type="dxa"/>
          </w:tblCellMar>
        </w:tblPrEx>
        <w:tc>
          <w:tcPr>
            <w:tcW w:w="4788" w:type="dxa"/>
            <w:gridSpan w:val="2"/>
          </w:tcPr>
          <w:p w14:paraId="21A876FD"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 xml:space="preserve">Time extension(s) </w:t>
            </w:r>
            <w:r>
              <w:rPr>
                <w:rFonts w:ascii="Verdana" w:hAnsi="Verdana" w:cs="Arial"/>
                <w:b/>
                <w:bCs/>
                <w:sz w:val="20"/>
              </w:rPr>
              <w:t>up to and including:</w:t>
            </w:r>
          </w:p>
        </w:tc>
        <w:tc>
          <w:tcPr>
            <w:tcW w:w="4860" w:type="dxa"/>
          </w:tcPr>
          <w:p w14:paraId="56E99130"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Cs/>
                <w:sz w:val="20"/>
              </w:rPr>
            </w:pPr>
          </w:p>
        </w:tc>
      </w:tr>
      <w:tr w:rsidR="00390500" w14:paraId="16A7F16F" w14:textId="77777777" w:rsidTr="006E4F13">
        <w:tblPrEx>
          <w:tblCellMar>
            <w:left w:w="108" w:type="dxa"/>
            <w:right w:w="108" w:type="dxa"/>
          </w:tblCellMar>
        </w:tblPrEx>
        <w:tc>
          <w:tcPr>
            <w:tcW w:w="4788" w:type="dxa"/>
            <w:gridSpan w:val="2"/>
          </w:tcPr>
          <w:p w14:paraId="4B25E2C9"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Additional Information Requested/</w:t>
            </w:r>
          </w:p>
          <w:p w14:paraId="077A278B"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sz w:val="20"/>
              </w:rPr>
            </w:pPr>
            <w:r>
              <w:rPr>
                <w:rFonts w:ascii="Verdana" w:hAnsi="Verdana" w:cs="Arial"/>
                <w:b/>
                <w:sz w:val="20"/>
              </w:rPr>
              <w:t>Received:</w:t>
            </w:r>
          </w:p>
        </w:tc>
        <w:tc>
          <w:tcPr>
            <w:tcW w:w="4860" w:type="dxa"/>
          </w:tcPr>
          <w:p w14:paraId="744BAFE6" w14:textId="77777777" w:rsidR="00390500" w:rsidRDefault="0039050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Cs/>
                <w:sz w:val="20"/>
              </w:rPr>
            </w:pPr>
            <w:r>
              <w:rPr>
                <w:rFonts w:ascii="Verdana" w:hAnsi="Verdana" w:cs="Arial"/>
                <w:bCs/>
                <w:sz w:val="20"/>
              </w:rPr>
              <w:t>/</w:t>
            </w:r>
          </w:p>
        </w:tc>
      </w:tr>
    </w:tbl>
    <w:p w14:paraId="43E5F1F0" w14:textId="77777777" w:rsidR="00390500" w:rsidRDefault="00390500">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77F4A05" w14:textId="77777777" w:rsidR="00390500" w:rsidRDefault="00390500">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7FB74170" w14:textId="77777777" w:rsidR="003F1209" w:rsidRDefault="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EAF501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Dear Sir / Madam</w:t>
      </w:r>
    </w:p>
    <w:p w14:paraId="56A178E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BA8D07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A Split Decision to Grant Permission and Refuse Permission was made in respect of the proposed development as detailed above, CEO Reference P/0595/26 Dated 30th March  2026 in respect of the subject property at 10 Longford Terrace, Monkstown, Co Dublin, A94XY98. (A Protected Structure).</w:t>
      </w:r>
    </w:p>
    <w:p w14:paraId="66528A8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79904F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This decision was the subject of judicial review proceedings, following which by Order of the Court dated 10th August 2026, reference No 2026 907 JR refers, the decision was quashed and remitted to this Planning Authority to resign and redate its Decision.</w:t>
      </w:r>
    </w:p>
    <w:p w14:paraId="1460E3E8"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4140323"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For the avoidance of doubt the reasons and recommendations set out in the planners report were generally adopted as set out in the Executive Order, this can be viewed at the Council Offices or the Council website. </w:t>
      </w:r>
    </w:p>
    <w:p w14:paraId="6EC936F8"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84EBF7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013AC9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DD1FD5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BEFF70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In pursuance of its functions under the above mentioned Act, Dún Laoghaire-</w:t>
      </w:r>
      <w:proofErr w:type="spellStart"/>
      <w:r w:rsidRPr="003F1209">
        <w:rPr>
          <w:rFonts w:ascii="Verdana" w:hAnsi="Verdana" w:cs="Arial"/>
          <w:lang w:val="en-GB"/>
        </w:rPr>
        <w:t>Rathdown</w:t>
      </w:r>
      <w:proofErr w:type="spellEnd"/>
      <w:r w:rsidRPr="003F1209">
        <w:rPr>
          <w:rFonts w:ascii="Verdana" w:hAnsi="Verdana" w:cs="Arial"/>
          <w:lang w:val="en-GB"/>
        </w:rPr>
        <w:t xml:space="preserve"> County Council, being the Planning Authority, did by Order dated as above make a SPLIT DECISION to REFUSE PERMISSION for </w:t>
      </w:r>
    </w:p>
    <w:p w14:paraId="0FE57369"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708933C5" w14:textId="4C019606" w:rsidR="003F1209" w:rsidRPr="003F1209" w:rsidRDefault="003F1209" w:rsidP="003F1209">
      <w:pPr>
        <w:pStyle w:val="Header"/>
        <w:numPr>
          <w:ilvl w:val="0"/>
          <w:numId w:val="20"/>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Part of Item 6 - The rear extension to the west side of the evicting rear return; </w:t>
      </w:r>
    </w:p>
    <w:p w14:paraId="5A940859" w14:textId="4807A67C" w:rsidR="003F1209" w:rsidRPr="003F1209" w:rsidRDefault="003F1209" w:rsidP="003F1209">
      <w:pPr>
        <w:pStyle w:val="Header"/>
        <w:numPr>
          <w:ilvl w:val="0"/>
          <w:numId w:val="20"/>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Part of Item 7 - the alterations to existing non-original rear return comprising replacement and raising of roof to encompass the existing original arched window feature; </w:t>
      </w:r>
    </w:p>
    <w:p w14:paraId="7C111ADD" w14:textId="688AADD3" w:rsidR="003F1209" w:rsidRPr="003F1209" w:rsidRDefault="003F1209" w:rsidP="003F1209">
      <w:pPr>
        <w:pStyle w:val="Header"/>
        <w:numPr>
          <w:ilvl w:val="0"/>
          <w:numId w:val="20"/>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8 - Construction of a covered terrace, privacy screening and external steps extending into rear garden; </w:t>
      </w:r>
    </w:p>
    <w:p w14:paraId="37409D00" w14:textId="2B3B5C22" w:rsidR="003F1209" w:rsidRPr="003F1209" w:rsidRDefault="003F1209" w:rsidP="003F1209">
      <w:pPr>
        <w:pStyle w:val="Header"/>
        <w:numPr>
          <w:ilvl w:val="0"/>
          <w:numId w:val="20"/>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12 - The opening up new doorway from first floor landing into master bedroom and blocking up existing arched opening. </w:t>
      </w:r>
    </w:p>
    <w:p w14:paraId="44D3E7A2"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106A1B8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 And to GRANT PERMISSION for </w:t>
      </w:r>
    </w:p>
    <w:p w14:paraId="51ADDBA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15D1AEC8" w14:textId="0C367F47"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1- Repair and restoration of existing granite front steps;  </w:t>
      </w:r>
    </w:p>
    <w:p w14:paraId="282AD8D8" w14:textId="7E48985F"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2 - Construction of a new storage area under front driveway accessed from front lower ground floor lightwell;  </w:t>
      </w:r>
    </w:p>
    <w:p w14:paraId="0ECD9410" w14:textId="420A7F34"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3 - Installation of a new glazed entrance door into lower ground floor vestibule under front steps; </w:t>
      </w:r>
    </w:p>
    <w:p w14:paraId="7FB5E920" w14:textId="27BED020"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4 - Internal alterations to lower ground floor layout including new opening in central spine wall between proposed cinema room and gym areas, lowering of floor level to proposed gym area, removal of non-original partitions and construction of new partition between proposed cinema room and proposed utility / boot room, removal of existing non-original partitions around existing stairwell and making good existing staircase;  </w:t>
      </w:r>
    </w:p>
    <w:p w14:paraId="00BD5D20" w14:textId="5E43141F"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5 - Removal of existing non original door and window between proposed gym and rear lightwell and blocking up opening; </w:t>
      </w:r>
    </w:p>
    <w:p w14:paraId="7BAA48B2" w14:textId="4E67C174"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Part of Item 6 - Construction of new single storey extension at ground floor level extending over existing lightwell, terrace and plant room to east side of existing rear return only;  </w:t>
      </w:r>
    </w:p>
    <w:p w14:paraId="4EB3DE15" w14:textId="7D7550F5"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Part of Item 7 - Alterations to existing non-original return including removal of existing first floor slab to create double height space and substantial removal of existing eastern elevation external wall only;  </w:t>
      </w:r>
    </w:p>
    <w:p w14:paraId="655BB5F3" w14:textId="18AFD4B2"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9 - Removal of existing sash window, granite sill, apron and base panels to create new access from existing kitchen into new extension with conservation and restoration of existing joinery;  </w:t>
      </w:r>
    </w:p>
    <w:p w14:paraId="0A6021D1" w14:textId="2C7F76B9"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10-  Removal of existing partitions around stairwell and modifications to existing return to reinstate original openings between hall and proposed extension;  </w:t>
      </w:r>
    </w:p>
    <w:p w14:paraId="24FE100A" w14:textId="30FA6AAE"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11- Reinstatement of existing opening (previously blocked) between existing kitchen and lounge including installation of sliding doors;  </w:t>
      </w:r>
    </w:p>
    <w:p w14:paraId="41BA238D" w14:textId="11DB5607" w:rsidR="003F1209" w:rsidRPr="003F1209" w:rsidRDefault="003F1209" w:rsidP="003F1209">
      <w:pPr>
        <w:pStyle w:val="Header"/>
        <w:numPr>
          <w:ilvl w:val="0"/>
          <w:numId w:val="18"/>
        </w:num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Item 13 -  Modification and repair of existing rooftop access hatch to create new rooflight and roof access above landing. </w:t>
      </w:r>
    </w:p>
    <w:p w14:paraId="1CF2C2D9"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829C484"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564D2F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552918D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4AB8E8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A REFUSAL OF PERMISSION under the Planning &amp; Development Act 2000 (as amended) for the following reason(s)</w:t>
      </w:r>
    </w:p>
    <w:p w14:paraId="6488C73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1. Having regard to the massing, bulk and scale of the proposed extension and covered terrace which cannot be considered to be subsidiary to the Protected Structure (RPS No. 643), the concealing of the original window on the rear elevation by raising to roof of the existing rear return and the disruption the symmetry, formality and spatial proportions of the master bedroom by creating a new door and infilling of an arched opening which would impact the original floorplan of the Protected Structure, it is considered that the proposal will have a negative impact on the architectural character and special interest of the Protected Structure and would therefore be contrary to Policy Objective HER8: Work to a Protected Structures and Section 12.11.2.1 Works to a Protected Structure of the County Development Plan, 2022-2028 and would therefore also be contrary to the proper planning and sustainable development of the area.</w:t>
      </w:r>
    </w:p>
    <w:p w14:paraId="6E5026F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13F45164"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A GRANT OF PERMISSION under the Planning &amp; Development Act 2000 (as amended ) in accordance with the plans and particulars, subject to the following (6) conditions set out in the Second Schedule. </w:t>
      </w:r>
    </w:p>
    <w:p w14:paraId="1EE31384"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8706C8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First Schedule</w:t>
      </w:r>
    </w:p>
    <w:p w14:paraId="5C00F62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Reasons &amp; Considerations</w:t>
      </w:r>
    </w:p>
    <w:p w14:paraId="2BF0E27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Having regard to the objective A zoning of the site, and policies and objectives as set out in the 2022 – 2028 </w:t>
      </w:r>
      <w:proofErr w:type="spellStart"/>
      <w:r w:rsidRPr="003F1209">
        <w:rPr>
          <w:rFonts w:ascii="Verdana" w:hAnsi="Verdana" w:cs="Arial"/>
          <w:lang w:val="en-GB"/>
        </w:rPr>
        <w:t>Dunlaoghaire-Rathdown</w:t>
      </w:r>
      <w:proofErr w:type="spellEnd"/>
      <w:r w:rsidRPr="003F1209">
        <w:rPr>
          <w:rFonts w:ascii="Verdana" w:hAnsi="Verdana" w:cs="Arial"/>
          <w:lang w:val="en-GB"/>
        </w:rPr>
        <w:t xml:space="preserve"> County Development Plan, it is considered that the development would not detract from the amenities of the area and is consistent with the provision of the current Development Plan, and is therefore considered to be in accordance with the proper planning and sustainable development of the area subject to conditions.</w:t>
      </w:r>
    </w:p>
    <w:p w14:paraId="532D631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F407F52"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Appropriate Assessment Screening</w:t>
      </w:r>
    </w:p>
    <w:p w14:paraId="3861253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The proposed development has been screened for AA (report on file) and it has been determined that the proposed development would not significantly impact upon a Natura 2000 Site. </w:t>
      </w:r>
    </w:p>
    <w:p w14:paraId="01DD59D8"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3CC630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Environmental Impact Assessment (EIA) Screening </w:t>
      </w:r>
    </w:p>
    <w:p w14:paraId="7300AA4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Having regard to the nature and scale of the proposed development, which comprises an extension / modification to an existing dwelling in a fully serviced urban location, it is considered that there is no real likelihood of significant effects on the environment arising from the proposed development. The need for environmental impact assessment can, therefore, be excluded at preliminary examination and as such a screening determination is not required. </w:t>
      </w:r>
    </w:p>
    <w:p w14:paraId="7B929F9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preliminary examination and as such a screening determination is not required. </w:t>
      </w:r>
    </w:p>
    <w:p w14:paraId="43007C14"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4A4F598"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Second Schedule</w:t>
      </w:r>
    </w:p>
    <w:p w14:paraId="476E7207"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Conditions</w:t>
      </w:r>
    </w:p>
    <w:p w14:paraId="73195E04"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F38B9B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1. The development shall be carried out in its entirety in accordance with the plans, particulars and specifications lodged with the application, save as may be required by the other conditions attached hereto or as otherwise agreed in writing by the Planning Authority. </w:t>
      </w:r>
    </w:p>
    <w:p w14:paraId="2E3A4BE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0D7F626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AEF79D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REASON: To ensure that the development shall be in accordance with the permission and that effective control be maintained. </w:t>
      </w:r>
    </w:p>
    <w:p w14:paraId="0022E8B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56461DE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2. Prior to the commencement of works, the applicant shall submit to the Planning Authority (Conservation Department) for written agreement, the following: </w:t>
      </w:r>
    </w:p>
    <w:p w14:paraId="5AF6F373"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roofErr w:type="spellStart"/>
      <w:r w:rsidRPr="003F1209">
        <w:rPr>
          <w:rFonts w:ascii="Verdana" w:hAnsi="Verdana" w:cs="Arial"/>
          <w:lang w:val="en-GB"/>
        </w:rPr>
        <w:t>i</w:t>
      </w:r>
      <w:proofErr w:type="spellEnd"/>
      <w:r w:rsidRPr="003F1209">
        <w:rPr>
          <w:rFonts w:ascii="Verdana" w:hAnsi="Verdana" w:cs="Arial"/>
          <w:lang w:val="en-GB"/>
        </w:rPr>
        <w:t xml:space="preserve">. Engineering reports and mitigation measures to ensure structural stability of the Protected Structure and </w:t>
      </w:r>
      <w:proofErr w:type="spellStart"/>
      <w:r w:rsidRPr="003F1209">
        <w:rPr>
          <w:rFonts w:ascii="Verdana" w:hAnsi="Verdana" w:cs="Arial"/>
          <w:lang w:val="en-GB"/>
        </w:rPr>
        <w:t>neighboring</w:t>
      </w:r>
      <w:proofErr w:type="spellEnd"/>
      <w:r w:rsidRPr="003F1209">
        <w:rPr>
          <w:rFonts w:ascii="Verdana" w:hAnsi="Verdana" w:cs="Arial"/>
          <w:lang w:val="en-GB"/>
        </w:rPr>
        <w:t xml:space="preserve"> buildings in relation to the proposed lowering of the ground level in the proposed gym area. </w:t>
      </w:r>
    </w:p>
    <w:p w14:paraId="4EE66FA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ii. Internal drawing of the window opening and linings to be retained connecting the kitchen to new extension.  </w:t>
      </w:r>
    </w:p>
    <w:p w14:paraId="79560A38"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iii. Full details of the treatment of the stairwell at ground floor level including any work to a handrail. It should be noted the loss of any original fabric is not supported.  </w:t>
      </w:r>
    </w:p>
    <w:p w14:paraId="74D2FB27"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iv. Internal drawing showing the dimensions of the proposed opening between the existing kitchen and lounge and any proposed dressings to the new doors. </w:t>
      </w:r>
    </w:p>
    <w:p w14:paraId="5CFA0E43"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REASON: In order to safeguard the special architectural or historical interest of the building. </w:t>
      </w:r>
    </w:p>
    <w:p w14:paraId="00020D5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9C7674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3. The entire dwelling shall be used as a single dwelling unit and shall not be sub-divided in any manner or used as two or more separate habitable units. </w:t>
      </w:r>
    </w:p>
    <w:p w14:paraId="21D1D50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REASON: To prevent unauthorised development</w:t>
      </w:r>
    </w:p>
    <w:p w14:paraId="09E5504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D4536C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4. The surface water runoff generated by the development shall not be discharged to the public sewer but shall be discharged locally to the proposed raised rainwater planters as indicated in the application.  The proposed raingarden shall be designed and constructed in accordance with the recommendations of the </w:t>
      </w:r>
      <w:proofErr w:type="spellStart"/>
      <w:r w:rsidRPr="003F1209">
        <w:rPr>
          <w:rFonts w:ascii="Verdana" w:hAnsi="Verdana" w:cs="Arial"/>
          <w:lang w:val="en-GB"/>
        </w:rPr>
        <w:t>SuDS</w:t>
      </w:r>
      <w:proofErr w:type="spellEnd"/>
      <w:r w:rsidRPr="003F1209">
        <w:rPr>
          <w:rFonts w:ascii="Verdana" w:hAnsi="Verdana" w:cs="Arial"/>
          <w:lang w:val="en-GB"/>
        </w:rPr>
        <w:t xml:space="preserve"> Manual (CIRIA C753) and best practice guidelines. Any overflow from the rainwater planters shall not connect to the public surface water sewer but shall be infiltrated locally to a soakaway, as detailed in the application, in accordance with Section 10.2.2.6 Policy Objective EI6: Sustainable Drainage Systems (</w:t>
      </w:r>
      <w:proofErr w:type="spellStart"/>
      <w:r w:rsidRPr="003F1209">
        <w:rPr>
          <w:rFonts w:ascii="Verdana" w:hAnsi="Verdana" w:cs="Arial"/>
          <w:lang w:val="en-GB"/>
        </w:rPr>
        <w:t>SuDS</w:t>
      </w:r>
      <w:proofErr w:type="spellEnd"/>
      <w:r w:rsidRPr="003F1209">
        <w:rPr>
          <w:rFonts w:ascii="Verdana" w:hAnsi="Verdana" w:cs="Arial"/>
          <w:lang w:val="en-GB"/>
        </w:rPr>
        <w:t xml:space="preserve">) of the County Development Plan 2022-2028.  The soakaway shall be designed to BRE Digest 365 and shall not have an overflow.  The offset distance for infiltration from adjacent buildings or structures will be at the professional judgement of a suitably qualified engineer and shall ensure the proposed system has no impact on neighbouring properties.  If a soakaway is not a feasible solution then, prior to the commencement of development, the applicant shall submit for the written agreement of the Planning Authority a report signed by a Chartered Engineer showing an infiltration test (with results, photos, etc) and shall propose an alternative </w:t>
      </w:r>
      <w:proofErr w:type="spellStart"/>
      <w:r w:rsidRPr="003F1209">
        <w:rPr>
          <w:rFonts w:ascii="Verdana" w:hAnsi="Verdana" w:cs="Arial"/>
          <w:lang w:val="en-GB"/>
        </w:rPr>
        <w:t>SuDS</w:t>
      </w:r>
      <w:proofErr w:type="spellEnd"/>
      <w:r w:rsidRPr="003F1209">
        <w:rPr>
          <w:rFonts w:ascii="Verdana" w:hAnsi="Verdana" w:cs="Arial"/>
          <w:lang w:val="en-GB"/>
        </w:rPr>
        <w:t xml:space="preserve"> measure. </w:t>
      </w:r>
    </w:p>
    <w:p w14:paraId="2353C76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REASON: In the interest of public health.  </w:t>
      </w:r>
    </w:p>
    <w:p w14:paraId="6015F3C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53674C2"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5. Any changes to parking and hardstanding areas shall be constructed in accordance with the recommendations of the Greater Dublin Strategic Drainage Study for sustainable urban drainage systems (</w:t>
      </w:r>
      <w:proofErr w:type="spellStart"/>
      <w:r w:rsidRPr="003F1209">
        <w:rPr>
          <w:rFonts w:ascii="Verdana" w:hAnsi="Verdana" w:cs="Arial"/>
          <w:lang w:val="en-GB"/>
        </w:rPr>
        <w:t>SuDS</w:t>
      </w:r>
      <w:proofErr w:type="spellEnd"/>
      <w:r w:rsidRPr="003F1209">
        <w:rPr>
          <w:rFonts w:ascii="Verdana" w:hAnsi="Verdana" w:cs="Arial"/>
          <w:lang w:val="en-GB"/>
        </w:rPr>
        <w:t xml:space="preserve">) i.e. permeable surfacing, and in accordance with Section 12.4.8.3 Driveways/Hardstanding Areas of the County Development Plan 2022-2028.  Appropriate measures shall be included to prevent runoff from driveways entering onto the public realm as required.  Where unbound material is proposed for driveway, parking or hardstanding areas, it shall be contained in such a way to ensure that it does not transfer on to the public road or footpath on road safety grounds. </w:t>
      </w:r>
    </w:p>
    <w:p w14:paraId="552A114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REASON: In the interest of public health.  </w:t>
      </w:r>
    </w:p>
    <w:p w14:paraId="49E6236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1CE98A0D"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661E7D1"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50727A0"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E87F1C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6. All necessary measures shall be taken by the Applicant and Contractor to: </w:t>
      </w:r>
    </w:p>
    <w:p w14:paraId="70533229"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Prevent any mud, dirt, debris or building material being carried onto or placed on the public road or adjoining properties as a result of the site construction works  </w:t>
      </w:r>
    </w:p>
    <w:p w14:paraId="42B84B33"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Repair any damage to the public road arising from carrying out the works </w:t>
      </w:r>
    </w:p>
    <w:p w14:paraId="3329CA8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Avoid conflict between construction activities and pedestrian/vehicular movements on the surrounding public roads during construction works. </w:t>
      </w:r>
    </w:p>
    <w:p w14:paraId="654C7A0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REASON: In the interest of orderly development  </w:t>
      </w:r>
    </w:p>
    <w:p w14:paraId="41F36E6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2E08220"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NOTE: The attention of the applicant is drawn to Section 34(13) of the Planning and Development Act 2000, which relates as follows- 'A person shall not be entitled solely by reason of a permission under this section to carry out any development'. </w:t>
      </w:r>
    </w:p>
    <w:p w14:paraId="69ECCB62"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C434C90"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NOTE: This permission does not imply any consent or approval for the structural stability and/or habitability of the works carried out and does not imply that the structure complies with the Building Regulations. </w:t>
      </w:r>
    </w:p>
    <w:p w14:paraId="7CDD019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5939A9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NOTE: Any alterations to the drainage systems within the site are a matter for compliance with the Building Regulation. </w:t>
      </w:r>
    </w:p>
    <w:p w14:paraId="4A9E28F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0962F3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NOTE: The proposed development shall accord with the requirements of </w:t>
      </w:r>
      <w:proofErr w:type="spellStart"/>
      <w:r w:rsidRPr="003F1209">
        <w:rPr>
          <w:rFonts w:ascii="Verdana" w:hAnsi="Verdana" w:cs="Arial"/>
          <w:lang w:val="en-GB"/>
        </w:rPr>
        <w:t>Uisce</w:t>
      </w:r>
      <w:proofErr w:type="spellEnd"/>
      <w:r w:rsidRPr="003F1209">
        <w:rPr>
          <w:rFonts w:ascii="Verdana" w:hAnsi="Verdana" w:cs="Arial"/>
          <w:lang w:val="en-GB"/>
        </w:rPr>
        <w:t xml:space="preserve"> Éireann. </w:t>
      </w:r>
    </w:p>
    <w:p w14:paraId="0C9F617A"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596B33C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NOTE:  The applicant is advised that in the event of encroachment or oversailing of the adjoining property, the consent of the adjoining property owner is required.  If this written agreement is not obtained the proposed development shall be modified only insofar as is required to do this. </w:t>
      </w:r>
    </w:p>
    <w:p w14:paraId="00AE2473"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3B90A5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NOTE: Any floorspace which does not comply with Building Regulations in relation to habitable standards shall not be used for human habitation.</w:t>
      </w:r>
    </w:p>
    <w:p w14:paraId="5CCFBA00"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81F6F06"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In deciding this planning application, the Planning Authority, in accordance with Section 34(3) of the Planning &amp; Development Act, as amended, has had regard to any submissions/observations received in accordance with the Planning and Development Regulations, 2001 – 2012 pertaining to this application.</w:t>
      </w:r>
    </w:p>
    <w:p w14:paraId="58F3133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If a decision has been made to Grant or refuse the application, you may appeal to An </w:t>
      </w:r>
      <w:proofErr w:type="spellStart"/>
      <w:r w:rsidRPr="003F1209">
        <w:rPr>
          <w:rFonts w:ascii="Verdana" w:hAnsi="Verdana" w:cs="Arial"/>
          <w:lang w:val="en-GB"/>
        </w:rPr>
        <w:t>Coimisiún</w:t>
      </w:r>
      <w:proofErr w:type="spellEnd"/>
      <w:r w:rsidRPr="003F1209">
        <w:rPr>
          <w:rFonts w:ascii="Verdana" w:hAnsi="Verdana" w:cs="Arial"/>
          <w:lang w:val="en-GB"/>
        </w:rPr>
        <w:t xml:space="preserve"> Pleanála against the Council's decision within four weeks beginning on the date of the decision.  An appeal made to An </w:t>
      </w:r>
      <w:proofErr w:type="spellStart"/>
      <w:r w:rsidRPr="003F1209">
        <w:rPr>
          <w:rFonts w:ascii="Verdana" w:hAnsi="Verdana" w:cs="Arial"/>
          <w:lang w:val="en-GB"/>
        </w:rPr>
        <w:t>Coimisiún</w:t>
      </w:r>
      <w:proofErr w:type="spellEnd"/>
      <w:r w:rsidRPr="003F1209">
        <w:rPr>
          <w:rFonts w:ascii="Verdana" w:hAnsi="Verdana" w:cs="Arial"/>
          <w:lang w:val="en-GB"/>
        </w:rPr>
        <w:t xml:space="preserve"> Pleanála by a third party will be invalid unless it is fully complete and accompanied by the appropriate fee and the Receipt of Acknowledgement issued by the planning authority in respect of your submission/observation on the planning application.  </w:t>
      </w:r>
    </w:p>
    <w:p w14:paraId="0036181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36476A79"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All correspondence in relation to appeals should be addressed to :</w:t>
      </w:r>
    </w:p>
    <w:p w14:paraId="6CCC734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b/>
          <w:bCs/>
          <w:lang w:val="en-GB"/>
        </w:rPr>
      </w:pPr>
      <w:r w:rsidRPr="003F1209">
        <w:rPr>
          <w:rFonts w:ascii="Verdana" w:hAnsi="Verdana" w:cs="Arial"/>
          <w:b/>
          <w:bCs/>
          <w:lang w:val="en-GB"/>
        </w:rPr>
        <w:t xml:space="preserve">The Secretary, An </w:t>
      </w:r>
      <w:proofErr w:type="spellStart"/>
      <w:r w:rsidRPr="003F1209">
        <w:rPr>
          <w:rFonts w:ascii="Verdana" w:hAnsi="Verdana" w:cs="Arial"/>
          <w:b/>
          <w:bCs/>
          <w:lang w:val="en-GB"/>
        </w:rPr>
        <w:t>Coimisiún</w:t>
      </w:r>
      <w:proofErr w:type="spellEnd"/>
      <w:r w:rsidRPr="003F1209">
        <w:rPr>
          <w:rFonts w:ascii="Verdana" w:hAnsi="Verdana" w:cs="Arial"/>
          <w:b/>
          <w:bCs/>
          <w:lang w:val="en-GB"/>
        </w:rPr>
        <w:t xml:space="preserve"> Pleanála, 64 Marlborough St., Dublin 1. </w:t>
      </w:r>
    </w:p>
    <w:p w14:paraId="7A706D4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61CECA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5EB05F0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F3A292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654A351B"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Please note that, in accordance with Section 251 of the Planning and Development Act, 2000, “where calculating any appropriate period or other time limit referred to in this Act or in any regulations made under this Act, the period between the 24th Day of December and the first day of January, both days inclusive, shall be disregarded”. </w:t>
      </w:r>
    </w:p>
    <w:p w14:paraId="6AE42885"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4DF35CB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Signed on behalf of the Dún Laoghaire-</w:t>
      </w:r>
      <w:proofErr w:type="spellStart"/>
      <w:r w:rsidRPr="003F1209">
        <w:rPr>
          <w:rFonts w:ascii="Verdana" w:hAnsi="Verdana" w:cs="Arial"/>
          <w:lang w:val="en-GB"/>
        </w:rPr>
        <w:t>Rathdown</w:t>
      </w:r>
      <w:proofErr w:type="spellEnd"/>
      <w:r w:rsidRPr="003F1209">
        <w:rPr>
          <w:rFonts w:ascii="Verdana" w:hAnsi="Verdana" w:cs="Arial"/>
          <w:lang w:val="en-GB"/>
        </w:rPr>
        <w:t xml:space="preserve"> County Council.</w:t>
      </w:r>
    </w:p>
    <w:p w14:paraId="0C39CA8E"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201C61C9"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p w14:paraId="7BE01855" w14:textId="18B73B0F"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Lucida Handwriting" w:hAnsi="Lucida Handwriting" w:cs="Arial"/>
          <w:b/>
          <w:bCs/>
          <w:color w:val="215E99" w:themeColor="text2" w:themeTint="BF"/>
          <w:lang w:val="en-GB"/>
        </w:rPr>
      </w:pPr>
      <w:r w:rsidRPr="003F1209">
        <w:rPr>
          <w:rFonts w:ascii="Lucida Handwriting" w:hAnsi="Lucida Handwriting" w:cs="Arial"/>
          <w:b/>
          <w:bCs/>
          <w:color w:val="215E99" w:themeColor="text2" w:themeTint="BF"/>
          <w:lang w:val="en-GB"/>
        </w:rPr>
        <w:t>Tricia Reidy</w:t>
      </w:r>
    </w:p>
    <w:p w14:paraId="5F127D8C"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______________________</w:t>
      </w:r>
    </w:p>
    <w:p w14:paraId="636749AF" w14:textId="77777777" w:rsidR="003F1209" w:rsidRPr="003F1209" w:rsidRDefault="003F1209" w:rsidP="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r w:rsidRPr="003F1209">
        <w:rPr>
          <w:rFonts w:ascii="Verdana" w:hAnsi="Verdana" w:cs="Arial"/>
          <w:lang w:val="en-GB"/>
        </w:rPr>
        <w:t xml:space="preserve">for Senior Executive Officer </w:t>
      </w:r>
    </w:p>
    <w:p w14:paraId="6F426829" w14:textId="77777777" w:rsidR="003F1209" w:rsidRDefault="003F1209">
      <w:pPr>
        <w:pStyle w:val="Heade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rPr>
          <w:rFonts w:ascii="Verdana" w:hAnsi="Verdana" w:cs="Arial"/>
          <w:lang w:val="en-GB"/>
        </w:rPr>
      </w:pPr>
    </w:p>
    <w:sectPr w:rsidR="003F1209" w:rsidSect="003F1209">
      <w:headerReference w:type="even" r:id="rId7"/>
      <w:headerReference w:type="default" r:id="rId8"/>
      <w:footerReference w:type="even" r:id="rId9"/>
      <w:footerReference w:type="default" r:id="rId10"/>
      <w:headerReference w:type="first" r:id="rId11"/>
      <w:footerReference w:type="first" r:id="rId12"/>
      <w:pgSz w:w="11908" w:h="16833" w:code="9"/>
      <w:pgMar w:top="3600" w:right="1151" w:bottom="1440" w:left="1151" w:header="244" w:footer="1298" w:gutter="0"/>
      <w:paperSrc w:first="1282" w:other="1282"/>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71E1" w14:textId="77777777" w:rsidR="00F80559" w:rsidRDefault="00F80559">
      <w:r>
        <w:separator/>
      </w:r>
    </w:p>
  </w:endnote>
  <w:endnote w:type="continuationSeparator" w:id="0">
    <w:p w14:paraId="2CFFC8EE" w14:textId="77777777" w:rsidR="00F80559" w:rsidRDefault="00F8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9AE8" w14:textId="77777777" w:rsidR="00390500" w:rsidRDefault="00390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1189" w14:textId="77777777" w:rsidR="00390500" w:rsidRPr="006E4F13" w:rsidRDefault="00390500" w:rsidP="006E4F13">
    <w:pPr>
      <w:pStyle w:val="Footer"/>
      <w:tabs>
        <w:tab w:val="clear" w:pos="4320"/>
        <w:tab w:val="clear" w:pos="8640"/>
        <w:tab w:val="center" w:pos="4680"/>
        <w:tab w:val="right" w:pos="9540"/>
      </w:tabs>
      <w:rPr>
        <w:rFonts w:ascii="Verdana" w:hAnsi="Verdana"/>
        <w:i/>
        <w:sz w:val="16"/>
      </w:rPr>
    </w:pPr>
    <w:r>
      <w:rPr>
        <w:rFonts w:ascii="Verdana" w:hAnsi="Verdana"/>
        <w:sz w:val="16"/>
      </w:rPr>
      <w:tab/>
    </w:r>
    <w:r w:rsidRPr="006E4F13">
      <w:rPr>
        <w:rFonts w:ascii="Verdana" w:hAnsi="Verdana"/>
        <w:i/>
        <w:sz w:val="16"/>
      </w:rPr>
      <w:t xml:space="preserve">Page </w:t>
    </w:r>
    <w:r w:rsidRPr="006E4F13">
      <w:rPr>
        <w:rFonts w:ascii="Verdana" w:hAnsi="Verdana"/>
        <w:i/>
        <w:sz w:val="16"/>
      </w:rPr>
      <w:fldChar w:fldCharType="begin"/>
    </w:r>
    <w:r w:rsidRPr="006E4F13">
      <w:rPr>
        <w:rFonts w:ascii="Verdana" w:hAnsi="Verdana"/>
        <w:i/>
        <w:sz w:val="16"/>
      </w:rPr>
      <w:instrText xml:space="preserve"> PAGE </w:instrText>
    </w:r>
    <w:r w:rsidRPr="006E4F13">
      <w:rPr>
        <w:rFonts w:ascii="Verdana" w:hAnsi="Verdana"/>
        <w:i/>
        <w:sz w:val="16"/>
      </w:rPr>
      <w:fldChar w:fldCharType="separate"/>
    </w:r>
    <w:r>
      <w:rPr>
        <w:rFonts w:ascii="Verdana" w:hAnsi="Verdana"/>
        <w:i/>
        <w:noProof/>
        <w:sz w:val="16"/>
      </w:rPr>
      <w:t>1</w:t>
    </w:r>
    <w:r w:rsidRPr="006E4F13">
      <w:rPr>
        <w:rFonts w:ascii="Verdana" w:hAnsi="Verdana"/>
        <w:i/>
        <w:sz w:val="16"/>
      </w:rPr>
      <w:fldChar w:fldCharType="end"/>
    </w:r>
    <w:r w:rsidRPr="006E4F13">
      <w:rPr>
        <w:rFonts w:ascii="Verdana" w:hAnsi="Verdana"/>
        <w:i/>
        <w:sz w:val="16"/>
      </w:rPr>
      <w:t xml:space="preserve"> of </w:t>
    </w:r>
    <w:r w:rsidRPr="006E4F13">
      <w:rPr>
        <w:rFonts w:ascii="Verdana" w:hAnsi="Verdana"/>
        <w:i/>
        <w:sz w:val="16"/>
      </w:rPr>
      <w:fldChar w:fldCharType="begin"/>
    </w:r>
    <w:r w:rsidRPr="006E4F13">
      <w:rPr>
        <w:rFonts w:ascii="Verdana" w:hAnsi="Verdana"/>
        <w:i/>
        <w:sz w:val="16"/>
      </w:rPr>
      <w:instrText xml:space="preserve"> NUMPAGES </w:instrText>
    </w:r>
    <w:r w:rsidRPr="006E4F13">
      <w:rPr>
        <w:rFonts w:ascii="Verdana" w:hAnsi="Verdana"/>
        <w:i/>
        <w:sz w:val="16"/>
      </w:rPr>
      <w:fldChar w:fldCharType="separate"/>
    </w:r>
    <w:r>
      <w:rPr>
        <w:rFonts w:ascii="Verdana" w:hAnsi="Verdana"/>
        <w:i/>
        <w:noProof/>
        <w:sz w:val="16"/>
      </w:rPr>
      <w:t>2</w:t>
    </w:r>
    <w:r w:rsidRPr="006E4F13">
      <w:rPr>
        <w:rFonts w:ascii="Verdana" w:hAnsi="Verdana"/>
        <w:i/>
        <w:sz w:val="16"/>
      </w:rPr>
      <w:fldChar w:fldCharType="end"/>
    </w:r>
    <w:r>
      <w:rPr>
        <w:rFonts w:ascii="Verdana" w:hAnsi="Verdana"/>
        <w:i/>
        <w:sz w:val="16"/>
      </w:rPr>
      <w:tab/>
    </w:r>
    <w:r w:rsidRPr="007E4367">
      <w:rPr>
        <w:rFonts w:ascii="Verdana" w:hAnsi="Verdana"/>
        <w:i/>
        <w:sz w:val="12"/>
        <w:szCs w:val="12"/>
      </w:rPr>
      <w:t>712-NBR3SPLIT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2144" w14:textId="77777777" w:rsidR="00390500" w:rsidRDefault="00390500">
    <w:pPr>
      <w:pStyle w:val="Footer"/>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4FDC" w14:textId="77777777" w:rsidR="00F80559" w:rsidRDefault="00F80559">
      <w:r>
        <w:separator/>
      </w:r>
    </w:p>
  </w:footnote>
  <w:footnote w:type="continuationSeparator" w:id="0">
    <w:p w14:paraId="1870E498" w14:textId="77777777" w:rsidR="00F80559" w:rsidRDefault="00F8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1362" w14:textId="77777777" w:rsidR="00390500" w:rsidRDefault="003905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CB09" w14:textId="77777777" w:rsidR="00390500" w:rsidRDefault="00390500">
    <w:pPr>
      <w:pStyle w:val="Header"/>
    </w:pPr>
    <w:r>
      <w:rPr>
        <w:noProof/>
      </w:rPr>
      <w:drawing>
        <wp:inline distT="0" distB="0" distL="0" distR="0" wp14:anchorId="7200B253" wp14:editId="1627C29F">
          <wp:extent cx="6099810" cy="1239520"/>
          <wp:effectExtent l="0" t="0" r="0" b="0"/>
          <wp:docPr id="228398685" name="Picture 1"/>
          <wp:cNvGraphicFramePr/>
          <a:graphic xmlns:a="http://schemas.openxmlformats.org/drawingml/2006/main">
            <a:graphicData uri="http://schemas.openxmlformats.org/drawingml/2006/picture">
              <pic:pic xmlns:pic="http://schemas.openxmlformats.org/drawingml/2006/picture">
                <pic:nvPicPr>
                  <pic:cNvPr id="228398685" name="Picture 1"/>
                  <pic:cNvPicPr/>
                </pic:nvPicPr>
                <pic:blipFill>
                  <a:blip r:embed="rId1"/>
                  <a:stretch>
                    <a:fillRect/>
                  </a:stretch>
                </pic:blipFill>
                <pic:spPr>
                  <a:xfrm>
                    <a:off x="0" y="0"/>
                    <a:ext cx="6099810" cy="1239520"/>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93A8" w14:textId="77777777" w:rsidR="00390500" w:rsidRDefault="003905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817E2B"/>
    <w:multiLevelType w:val="hybridMultilevel"/>
    <w:tmpl w:val="E712315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152FF"/>
    <w:multiLevelType w:val="hybridMultilevel"/>
    <w:tmpl w:val="236E8F44"/>
    <w:lvl w:ilvl="0" w:tplc="C0D8B80C">
      <w:numFmt w:val="bullet"/>
      <w:lvlText w:val="•"/>
      <w:lvlJc w:val="left"/>
      <w:pPr>
        <w:ind w:left="1230" w:hanging="87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1AC23BC1"/>
    <w:multiLevelType w:val="multilevel"/>
    <w:tmpl w:val="1D4A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1">
    <w:nsid w:val="1E222F65"/>
    <w:multiLevelType w:val="multilevel"/>
    <w:tmpl w:val="BE6A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0471D5"/>
    <w:multiLevelType w:val="hybridMultilevel"/>
    <w:tmpl w:val="8D8EFB66"/>
    <w:lvl w:ilvl="0" w:tplc="477844C4">
      <w:numFmt w:val="bullet"/>
      <w:lvlText w:val="•"/>
      <w:lvlJc w:val="left"/>
      <w:pPr>
        <w:ind w:left="1230" w:hanging="87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2FED6000"/>
    <w:multiLevelType w:val="multilevel"/>
    <w:tmpl w:val="3C2E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47228C"/>
    <w:multiLevelType w:val="hybridMultilevel"/>
    <w:tmpl w:val="FD0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3E075C7A"/>
    <w:multiLevelType w:val="hybridMultilevel"/>
    <w:tmpl w:val="DC901C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1">
    <w:nsid w:val="40DC75C9"/>
    <w:multiLevelType w:val="multilevel"/>
    <w:tmpl w:val="CD8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1">
    <w:nsid w:val="42BC59F5"/>
    <w:multiLevelType w:val="multilevel"/>
    <w:tmpl w:val="BEA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4C7A203F"/>
    <w:multiLevelType w:val="multilevel"/>
    <w:tmpl w:val="7886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1">
    <w:nsid w:val="502D11DD"/>
    <w:multiLevelType w:val="multilevel"/>
    <w:tmpl w:val="1F3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1">
    <w:nsid w:val="52D57414"/>
    <w:multiLevelType w:val="multilevel"/>
    <w:tmpl w:val="CCDC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1">
    <w:nsid w:val="59D45153"/>
    <w:multiLevelType w:val="multilevel"/>
    <w:tmpl w:val="37B8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5854E9"/>
    <w:multiLevelType w:val="hybridMultilevel"/>
    <w:tmpl w:val="85DC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E1C27FB"/>
    <w:multiLevelType w:val="multilevel"/>
    <w:tmpl w:val="0C72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1">
    <w:nsid w:val="653319D6"/>
    <w:multiLevelType w:val="multilevel"/>
    <w:tmpl w:val="971C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1">
    <w:nsid w:val="66B211C9"/>
    <w:multiLevelType w:val="multilevel"/>
    <w:tmpl w:val="EBCE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1">
    <w:nsid w:val="758D6F03"/>
    <w:multiLevelType w:val="multilevel"/>
    <w:tmpl w:val="27C0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1">
    <w:nsid w:val="77FC4377"/>
    <w:multiLevelType w:val="multilevel"/>
    <w:tmpl w:val="F5E6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1">
    <w:nsid w:val="784A76E1"/>
    <w:multiLevelType w:val="multilevel"/>
    <w:tmpl w:val="F522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902267">
    <w:abstractNumId w:val="7"/>
  </w:num>
  <w:num w:numId="2" w16cid:durableId="245310089">
    <w:abstractNumId w:val="0"/>
  </w:num>
  <w:num w:numId="3" w16cid:durableId="1022634787">
    <w:abstractNumId w:val="13"/>
  </w:num>
  <w:num w:numId="4" w16cid:durableId="957100644">
    <w:abstractNumId w:val="3"/>
  </w:num>
  <w:num w:numId="5" w16cid:durableId="1063218269">
    <w:abstractNumId w:val="16"/>
  </w:num>
  <w:num w:numId="6" w16cid:durableId="378208501">
    <w:abstractNumId w:val="18"/>
  </w:num>
  <w:num w:numId="7" w16cid:durableId="464087422">
    <w:abstractNumId w:val="20"/>
  </w:num>
  <w:num w:numId="8" w16cid:durableId="30998843">
    <w:abstractNumId w:val="17"/>
  </w:num>
  <w:num w:numId="9" w16cid:durableId="1388802043">
    <w:abstractNumId w:val="12"/>
  </w:num>
  <w:num w:numId="10" w16cid:durableId="1804499013">
    <w:abstractNumId w:val="11"/>
  </w:num>
  <w:num w:numId="11" w16cid:durableId="1004825088">
    <w:abstractNumId w:val="10"/>
  </w:num>
  <w:num w:numId="12" w16cid:durableId="1854373646">
    <w:abstractNumId w:val="15"/>
  </w:num>
  <w:num w:numId="13" w16cid:durableId="213391713">
    <w:abstractNumId w:val="2"/>
  </w:num>
  <w:num w:numId="14" w16cid:durableId="1097364639">
    <w:abstractNumId w:val="9"/>
  </w:num>
  <w:num w:numId="15" w16cid:durableId="1695229009">
    <w:abstractNumId w:val="8"/>
  </w:num>
  <w:num w:numId="16" w16cid:durableId="351148751">
    <w:abstractNumId w:val="19"/>
  </w:num>
  <w:num w:numId="17" w16cid:durableId="1190558735">
    <w:abstractNumId w:val="5"/>
  </w:num>
  <w:num w:numId="18" w16cid:durableId="481391424">
    <w:abstractNumId w:val="6"/>
  </w:num>
  <w:num w:numId="19" w16cid:durableId="46613302">
    <w:abstractNumId w:val="4"/>
  </w:num>
  <w:num w:numId="20" w16cid:durableId="1614248493">
    <w:abstractNumId w:val="14"/>
  </w:num>
  <w:num w:numId="21" w16cid:durableId="2129079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5E"/>
    <w:rsid w:val="000B22CE"/>
    <w:rsid w:val="00143266"/>
    <w:rsid w:val="001E158C"/>
    <w:rsid w:val="002D0173"/>
    <w:rsid w:val="00390500"/>
    <w:rsid w:val="003F1209"/>
    <w:rsid w:val="00400BC3"/>
    <w:rsid w:val="00404A30"/>
    <w:rsid w:val="00471C6F"/>
    <w:rsid w:val="006D7D43"/>
    <w:rsid w:val="006E4F13"/>
    <w:rsid w:val="007D5B0A"/>
    <w:rsid w:val="007E4367"/>
    <w:rsid w:val="007F0E0C"/>
    <w:rsid w:val="00806456"/>
    <w:rsid w:val="008B2CC2"/>
    <w:rsid w:val="008D0E5E"/>
    <w:rsid w:val="00A13FD9"/>
    <w:rsid w:val="00A203D7"/>
    <w:rsid w:val="00B7796A"/>
    <w:rsid w:val="00BE0CC9"/>
    <w:rsid w:val="00C95A95"/>
    <w:rsid w:val="00D61F75"/>
    <w:rsid w:val="00EB3B59"/>
    <w:rsid w:val="00EC7E40"/>
    <w:rsid w:val="00F70B36"/>
    <w:rsid w:val="00F8055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EAD2F"/>
  <w15:chartTrackingRefBased/>
  <w15:docId w15:val="{3D82457D-C67B-4BB6-BCFD-008237C4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outlineLvl w:val="0"/>
    </w:pPr>
    <w:rPr>
      <w:rFonts w:ascii="Courier" w:eastAsia="Arial Unicode MS" w:hAnsi="Courier" w:cs="Arial Unicode MS"/>
      <w:b/>
      <w:bCs/>
      <w:sz w:val="20"/>
      <w:szCs w:val="20"/>
    </w:rPr>
  </w:style>
  <w:style w:type="paragraph" w:styleId="Heading2">
    <w:name w:val="heading 2"/>
    <w:basedOn w:val="Normal"/>
    <w:next w:val="Normal"/>
    <w:qFormat/>
    <w:pPr>
      <w:keepNext/>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outlineLvl w:val="1"/>
    </w:pPr>
    <w:rPr>
      <w:rFonts w:ascii="Script MT Bold" w:hAnsi="Script MT Bold"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szCs w:val="20"/>
      <w:lang w:val="en-US"/>
    </w:rPr>
  </w:style>
  <w:style w:type="paragraph" w:styleId="Footer">
    <w:name w:val="footer"/>
    <w:basedOn w:val="Normal"/>
    <w:pPr>
      <w:tabs>
        <w:tab w:val="center" w:pos="4320"/>
        <w:tab w:val="right" w:pos="8640"/>
      </w:tabs>
    </w:pPr>
    <w:rPr>
      <w:sz w:val="20"/>
      <w:szCs w:val="20"/>
      <w:lang w:val="en-US"/>
    </w:rPr>
  </w:style>
  <w:style w:type="paragraph" w:styleId="Title">
    <w:name w:val="Title"/>
    <w:basedOn w:val="Normal"/>
    <w:qFormat/>
    <w:pPr>
      <w:jc w:val="center"/>
    </w:pPr>
    <w:rPr>
      <w:b/>
      <w:bCs/>
      <w:u w:val="single"/>
      <w:lang w:val="en-IE"/>
    </w:rPr>
  </w:style>
  <w:style w:type="paragraph" w:styleId="Subtitle">
    <w:name w:val="Subtitle"/>
    <w:basedOn w:val="Normal"/>
    <w:qFormat/>
    <w:pPr>
      <w:jc w:val="both"/>
    </w:pPr>
    <w:rPr>
      <w:b/>
      <w:bCs/>
      <w:u w:val="single"/>
      <w:lang w:val="en-IE"/>
    </w:rPr>
  </w:style>
  <w:style w:type="paragraph" w:customStyle="1" w:styleId="paragraph">
    <w:name w:val="paragraph"/>
    <w:basedOn w:val="Normal"/>
    <w:rsid w:val="00390500"/>
    <w:pPr>
      <w:spacing w:before="100" w:beforeAutospacing="1" w:after="100" w:afterAutospacing="1"/>
    </w:pPr>
    <w:rPr>
      <w:lang w:val="en-US"/>
    </w:rPr>
  </w:style>
  <w:style w:type="character" w:customStyle="1" w:styleId="normaltextrun">
    <w:name w:val="normaltextrun"/>
    <w:basedOn w:val="DefaultParagraphFont"/>
    <w:rsid w:val="00390500"/>
  </w:style>
  <w:style w:type="character" w:customStyle="1" w:styleId="eop">
    <w:name w:val="eop"/>
    <w:basedOn w:val="DefaultParagraphFont"/>
    <w:rsid w:val="00390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752797">
      <w:bodyDiv w:val="1"/>
      <w:marLeft w:val="0"/>
      <w:marRight w:val="0"/>
      <w:marTop w:val="0"/>
      <w:marBottom w:val="0"/>
      <w:divBdr>
        <w:top w:val="none" w:sz="0" w:space="0" w:color="auto"/>
        <w:left w:val="none" w:sz="0" w:space="0" w:color="auto"/>
        <w:bottom w:val="none" w:sz="0" w:space="0" w:color="auto"/>
        <w:right w:val="none" w:sz="0" w:space="0" w:color="auto"/>
      </w:divBdr>
    </w:div>
    <w:div w:id="133137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6C211C91F727498B8662CE6358220A" ma:contentTypeVersion="2" ma:contentTypeDescription="Create a new document." ma:contentTypeScope="" ma:versionID="43a5666181a7f45b60f50a9182289d81">
  <xsd:schema xmlns:xsd="http://www.w3.org/2001/XMLSchema" xmlns:xs="http://www.w3.org/2001/XMLSchema" xmlns:p="http://schemas.microsoft.com/office/2006/metadata/properties" xmlns:ns2="df991926-381b-442a-b4c6-a2418276229e" targetNamespace="http://schemas.microsoft.com/office/2006/metadata/properties" ma:root="true" ma:fieldsID="a94e5cf1315a5d51de65d3da1909b5b2" ns2:_="">
    <xsd:import namespace="df991926-381b-442a-b4c6-a2418276229e"/>
    <xsd:element name="properties">
      <xsd:complexType>
        <xsd:sequence>
          <xsd:element name="documentManagement">
            <xsd:complexType>
              <xsd:all>
                <xsd:element ref="ns2:DateReceived" minOccurs="0"/>
                <xsd:element ref="ns2:Valid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91926-381b-442a-b4c6-a2418276229e"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df991926-381b-442a-b4c6-a2418276229e" xsi:nil="true"/>
    <ValidatedBy xmlns="df991926-381b-442a-b4c6-a2418276229e">
      <UserInfo>
        <DisplayName/>
        <AccountId xsi:nil="true"/>
        <AccountType/>
      </UserInfo>
    </ValidatedBy>
  </documentManagement>
</p:properties>
</file>

<file path=customXml/itemProps1.xml><?xml version="1.0" encoding="utf-8"?>
<ds:datastoreItem xmlns:ds="http://schemas.openxmlformats.org/officeDocument/2006/customXml" ds:itemID="{943F9CDC-727B-45AB-B6B5-727C91F4E829}"/>
</file>

<file path=customXml/itemProps2.xml><?xml version="1.0" encoding="utf-8"?>
<ds:datastoreItem xmlns:ds="http://schemas.openxmlformats.org/officeDocument/2006/customXml" ds:itemID="{BAA99D6F-94D1-4B09-A3FF-ABBE4403DEDF}"/>
</file>

<file path=customXml/itemProps3.xml><?xml version="1.0" encoding="utf-8"?>
<ds:datastoreItem xmlns:ds="http://schemas.openxmlformats.org/officeDocument/2006/customXml" ds:itemID="{138176A6-9273-4E67-A653-1D3B9F519324}"/>
</file>

<file path=docProps/app.xml><?xml version="1.0" encoding="utf-8"?>
<Properties xmlns="http://schemas.openxmlformats.org/officeDocument/2006/extended-properties" xmlns:vt="http://schemas.openxmlformats.org/officeDocument/2006/docPropsVTypes">
  <Template>Normal</Template>
  <TotalTime>3</TotalTime>
  <Pages>7</Pages>
  <Words>2314</Words>
  <Characters>13193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«Mailing_Name_And_Address»</vt:lpstr>
    </vt:vector>
  </TitlesOfParts>
  <Company>Swift LG</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«Mailing_Name_And_Address»</dc:title>
  <dc:subject/>
  <dc:creator>skeogh</dc:creator>
  <cp:keywords/>
  <dc:description/>
  <cp:lastModifiedBy>Reidy Tricia</cp:lastModifiedBy>
  <cp:revision>2</cp:revision>
  <cp:lastPrinted>2019-09-17T09:46:00Z</cp:lastPrinted>
  <dcterms:created xsi:type="dcterms:W3CDTF">2026-08-12T17:13:00Z</dcterms:created>
  <dcterms:modified xsi:type="dcterms:W3CDTF">2026-08-12T17:16:00Z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0x0101008C6C211C91F727498B8662CE6358220A</vt:lpwstr>
  </property>
</Properties>
</file>